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6" w:after="6"/>
        <w:rPr>
          <w:rFonts w:ascii="Century Gothic" w:hAnsi="Century Gothic"/>
          <w:b/>
        </w:rPr>
      </w:pPr>
    </w:p>
    <w:p>
      <w:pPr>
        <w:spacing w:before="6" w:after="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RELEASE</w:t>
      </w:r>
    </w:p>
    <w:p>
      <w:pPr>
        <w:spacing w:before="6" w:after="6"/>
        <w:rPr>
          <w:rFonts w:ascii="Century Gothic" w:hAnsi="Century Gothic"/>
        </w:rPr>
      </w:pPr>
      <w:r>
        <w:rPr>
          <w:rFonts w:ascii="Century Gothic" w:hAnsi="Century Gothic"/>
          <w:i/>
        </w:rPr>
        <w:t>For immediate release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June 2012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>
      <w:pPr>
        <w:spacing w:before="6" w:after="6"/>
        <w:jc w:val="center"/>
        <w:rPr>
          <w:rFonts w:ascii="Century Gothic" w:hAnsi="Century Gothic"/>
          <w:b/>
        </w:rPr>
      </w:pPr>
      <w:r>
        <w:rPr>
          <w:rFonts w:ascii="AvantGarde" w:hAnsi="AvantGarde"/>
          <w:b/>
          <w:bCs/>
          <w:color w:val="012169"/>
          <w:sz w:val="24"/>
          <w:szCs w:val="24"/>
        </w:rPr>
        <w:t xml:space="preserve">The Block – a property gold mine 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properties from the hit Channel Nine show ‘The Block’ are an under lying gold mine. </w:t>
      </w:r>
    </w:p>
    <w:p>
      <w:pPr>
        <w:spacing w:beforeLines="120" w:before="288" w:afterLines="120" w:after="288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Managing Director of BMT Tax Depreciation </w:t>
      </w:r>
      <w:smartTag w:uri="urn:schemas-microsoft-com:office:smarttags" w:element="PersonName">
        <w:r>
          <w:rPr>
            <w:rFonts w:ascii="Century Gothic" w:hAnsi="Century Gothic"/>
            <w:sz w:val="20"/>
            <w:szCs w:val="20"/>
          </w:rPr>
          <w:t>Bradley Beer</w:t>
        </w:r>
      </w:smartTag>
      <w:r>
        <w:rPr>
          <w:rFonts w:ascii="Century Gothic" w:hAnsi="Century Gothic"/>
          <w:sz w:val="20"/>
          <w:szCs w:val="20"/>
        </w:rPr>
        <w:t xml:space="preserve"> has provided an independent depreciation assessment of the completed properties identifying significant deductions available to property investors.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four properties were purchased for an average of $950,000 each and over $700, 000 per property has been spent in additional works. 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“If an investor is to purchase one of these properties for the anticipated $1.1 to $1.2 million, they represent great value based on the overall expenditure,” says Bradley Beer.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BMT Tax Depreciation identified that an investor purchaser could claim over $30,000 in deductions during the first full year and a cumulative total of $140,000 in the first five years of ownership.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BMT Tax Depreciation prepares tens of thousands of property depreciation reports each year through eleven office locations around Australia and are specialist Quantity Surveyors. 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Quantity surveyors are one of the few professions recognised by the Australian Taxation Office to have the appropriate construction costing skills to estimate building costs for depreciation.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“Research shows that 80% of property investors are failing to take full advantage of property depreciation and are missing out on thousands of dollars in their pockets,” said Mr Beer.</w:t>
      </w:r>
    </w:p>
    <w:p>
      <w:pPr>
        <w:spacing w:before="6" w:after="6"/>
        <w:rPr>
          <w:rFonts w:ascii="AvantGarde" w:hAnsi="AvantGarde"/>
          <w:b/>
          <w:bCs/>
          <w:color w:val="012169"/>
        </w:rPr>
      </w:pPr>
      <w:r>
        <w:rPr>
          <w:rFonts w:ascii="AvantGarde" w:hAnsi="AvantGarde"/>
          <w:b/>
          <w:bCs/>
          <w:color w:val="012169"/>
        </w:rPr>
        <w:t>What is depreciation?</w:t>
      </w:r>
    </w:p>
    <w:p>
      <w:pPr>
        <w:spacing w:beforeLines="120" w:before="288" w:afterLines="120" w:after="288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a building gets older, items wear out – they depreciate. The Australian Taxation Office allows property owners to claim this depreciation as a deduction. </w:t>
      </w:r>
    </w:p>
    <w:p>
      <w:pPr>
        <w:spacing w:beforeLines="120" w:before="288" w:afterLines="120" w:after="288" w:line="360" w:lineRule="auto"/>
        <w:ind w:right="-1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Depreciation can be obtained by any property owner who obtains income from their property.</w:t>
      </w:r>
    </w:p>
    <w:p>
      <w:pPr>
        <w:spacing w:beforeLines="120" w:before="288" w:afterLines="120" w:after="288" w:line="36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*ENDS*</w:t>
      </w:r>
    </w:p>
    <w:p>
      <w:pPr>
        <w:spacing w:beforeLines="120" w:before="288" w:afterLines="120" w:after="288" w:line="360" w:lineRule="auto"/>
        <w:rPr>
          <w:rStyle w:val="Hyperlink"/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</w:rPr>
        <w:t>Media contact:</w:t>
      </w:r>
      <w:r>
        <w:rPr>
          <w:rFonts w:ascii="Century Gothic" w:hAnsi="Century Gothic"/>
        </w:rPr>
        <w:t xml:space="preserve"> Brad Beer, 0413 271 777, </w:t>
      </w:r>
      <w:hyperlink r:id="rId7" w:history="1">
        <w:r>
          <w:rPr>
            <w:rStyle w:val="Hyperlink"/>
            <w:rFonts w:ascii="Century Gothic" w:hAnsi="Century Gothic"/>
          </w:rPr>
          <w:t>brad.beer@bmtnews.com.au</w:t>
        </w:r>
      </w:hyperlink>
      <w:r>
        <w:rPr>
          <w:rFonts w:ascii="Century Gothic" w:hAnsi="Century Gothic"/>
        </w:rPr>
        <w:br/>
      </w:r>
      <w:r>
        <w:rPr>
          <w:rStyle w:val="Hyperlink"/>
          <w:rFonts w:ascii="Century Gothic" w:hAnsi="Century Gothic"/>
          <w:b/>
          <w:color w:val="000000" w:themeColor="text1"/>
        </w:rPr>
        <w:br/>
        <w:t>About BMT Tax Depreciation</w:t>
      </w:r>
    </w:p>
    <w:p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BMT </w:t>
      </w:r>
      <w:r>
        <w:rPr>
          <w:rFonts w:ascii="Century Gothic" w:hAnsi="Century Gothic"/>
          <w:sz w:val="20"/>
          <w:szCs w:val="20"/>
        </w:rPr>
        <w:t xml:space="preserve">Tax Depreciation (BMT) </w:t>
      </w:r>
      <w:r>
        <w:rPr>
          <w:rStyle w:val="Hyperlink"/>
          <w:rFonts w:ascii="Century Gothic" w:hAnsi="Century Gothic"/>
          <w:color w:val="000000" w:themeColor="text1"/>
          <w:sz w:val="20"/>
          <w:szCs w:val="20"/>
        </w:rPr>
        <w:t>is a Quantity Surveying company specialising in the provision of tax depreciation schedules for residential and commercial investment properties. Commencing business in 1997</w:t>
      </w:r>
      <w:r>
        <w:rPr>
          <w:rFonts w:ascii="Century Gothic" w:hAnsi="Century Gothic"/>
          <w:sz w:val="20"/>
          <w:szCs w:val="20"/>
        </w:rPr>
        <w:t>, demand from property investors nationally has seen business expand Australia-wide with offices now located in Sydney, Parramatta, Melbourne, Brisbane, Newcastle, Adelaide, Perth, Gold Coast, Cairns, Canberra, Hobart and Darwin.</w:t>
      </w:r>
    </w:p>
    <w:p>
      <w:pPr>
        <w:spacing w:before="0" w:after="0"/>
        <w:rPr>
          <w:rFonts w:ascii="Century Gothic" w:hAnsi="Century Gothic"/>
          <w:color w:val="000000" w:themeColor="text1"/>
        </w:rPr>
      </w:pPr>
      <w:bookmarkStart w:id="0" w:name="_GoBack"/>
      <w:bookmarkEnd w:id="0"/>
    </w:p>
    <w:sectPr>
      <w:headerReference w:type="default" r:id="rId8"/>
      <w:footerReference w:type="default" r:id="rId9"/>
      <w:pgSz w:w="12240" w:h="15840"/>
      <w:pgMar w:top="0" w:right="1183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ind w:right="-142"/>
      <w:jc w:val="right"/>
      <w:rPr>
        <w:noProof/>
        <w:lang w:eastAsia="en-AU"/>
      </w:rPr>
    </w:pPr>
  </w:p>
  <w:p>
    <w:pPr>
      <w:ind w:right="-142"/>
      <w:jc w:val="right"/>
      <w:rPr>
        <w:noProof/>
        <w:lang w:eastAsia="en-AU"/>
      </w:rPr>
    </w:pPr>
    <w:r>
      <w:rPr>
        <w:noProof/>
        <w:lang w:eastAsia="en-AU"/>
      </w:rPr>
      <w:drawing>
        <wp:inline distT="0" distB="0" distL="0" distR="0">
          <wp:extent cx="6293796" cy="1254868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Letterhead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6" b="14046"/>
                  <a:stretch/>
                </pic:blipFill>
                <pic:spPr bwMode="auto">
                  <a:xfrm>
                    <a:off x="0" y="0"/>
                    <a:ext cx="6301105" cy="125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</w: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-50166</wp:posOffset>
              </wp:positionV>
              <wp:extent cx="6412865" cy="0"/>
              <wp:effectExtent l="0" t="19050" r="698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28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pt,-3.95pt" to="499.1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" strokecolor="#1f497d [3215]" strokeweight="2.2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tabs>
        <w:tab w:val="clear" w:pos="4320"/>
        <w:tab w:val="clear" w:pos="8640"/>
      </w:tabs>
      <w:jc w:val="center"/>
    </w:pPr>
    <w:r>
      <w:rPr>
        <w:noProof/>
        <w:lang w:eastAsia="en-AU"/>
      </w:rPr>
      <w:drawing>
        <wp:inline distT="0" distB="0" distL="0" distR="0">
          <wp:extent cx="2660400" cy="723600"/>
          <wp:effectExtent l="0" t="0" r="698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MT Tax Depreciati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7" r="4910"/>
                  <a:stretch/>
                </pic:blipFill>
                <pic:spPr bwMode="auto">
                  <a:xfrm>
                    <a:off x="0" y="0"/>
                    <a:ext cx="266040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5:docId w15:val="{F6F982C4-E3C7-4923-A800-FA53C3F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AU"/>
    </w:rPr>
  </w:style>
  <w:style w:type="character" w:styleId="Emphasis">
    <w:name w:val="Emphasis"/>
    <w:basedOn w:val="DefaultParagraphFont"/>
    <w:uiPriority w:val="20"/>
    <w:qFormat/>
    <w:locked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unhideWhenUsed/>
    <w:pPr>
      <w:spacing w:before="0" w:after="0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="Consolas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</w:pPr>
    <w:rPr>
      <w:rFonts w:eastAsiaTheme="minorHAnsi"/>
    </w:rPr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d.beer@bmtnew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6190-4648-4F33-844C-D9282482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Rani Bonwick</cp:lastModifiedBy>
  <cp:revision>5</cp:revision>
  <cp:lastPrinted>2014-03-13T22:19:00Z</cp:lastPrinted>
  <dcterms:created xsi:type="dcterms:W3CDTF">2015-02-18T06:12:00Z</dcterms:created>
  <dcterms:modified xsi:type="dcterms:W3CDTF">2015-05-21T06:58:00Z</dcterms:modified>
</cp:coreProperties>
</file>